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F88" w:rsidRPr="002D4033" w:rsidRDefault="00FE7F88" w:rsidP="00FE7F88">
      <w:pPr>
        <w:jc w:val="center"/>
        <w:rPr>
          <w:b/>
          <w:bCs/>
          <w:sz w:val="20"/>
          <w:szCs w:val="20"/>
        </w:rPr>
      </w:pPr>
      <w:r w:rsidRPr="002D4033">
        <w:rPr>
          <w:b/>
          <w:bCs/>
          <w:sz w:val="20"/>
          <w:szCs w:val="20"/>
        </w:rPr>
        <w:t xml:space="preserve">LEY DEL GOBIERNO Y </w:t>
      </w:r>
      <w:smartTag w:uri="urn:schemas-microsoft-com:office:smarttags" w:element="PersonName">
        <w:smartTagPr>
          <w:attr w:name="ProductID" w:val="LA ADMINISTRACIￓN PￚBLICA"/>
        </w:smartTagPr>
        <w:r w:rsidRPr="002D4033">
          <w:rPr>
            <w:b/>
            <w:bCs/>
            <w:sz w:val="20"/>
            <w:szCs w:val="20"/>
          </w:rPr>
          <w:t>LA ADMINISTRACIÓN PÚBLICA</w:t>
        </w:r>
      </w:smartTag>
      <w:r w:rsidRPr="002D4033">
        <w:rPr>
          <w:b/>
          <w:bCs/>
          <w:sz w:val="20"/>
          <w:szCs w:val="20"/>
        </w:rPr>
        <w:t xml:space="preserve"> MUNICIPAL </w:t>
      </w:r>
    </w:p>
    <w:p w:rsidR="00FE7F88" w:rsidRPr="002D4033" w:rsidRDefault="00FE7F88" w:rsidP="00FE7F88">
      <w:pPr>
        <w:jc w:val="center"/>
        <w:rPr>
          <w:b/>
          <w:bCs/>
          <w:sz w:val="20"/>
          <w:szCs w:val="20"/>
        </w:rPr>
      </w:pPr>
      <w:r w:rsidRPr="002D4033">
        <w:rPr>
          <w:b/>
          <w:bCs/>
          <w:sz w:val="20"/>
          <w:szCs w:val="20"/>
        </w:rPr>
        <w:t>DEL ESTADO DE JALISCO</w:t>
      </w:r>
    </w:p>
    <w:p w:rsidR="00FE7F88" w:rsidRPr="00B031AF" w:rsidRDefault="00FE7F88" w:rsidP="00FE7F88">
      <w:pPr>
        <w:pStyle w:val="Estilo"/>
        <w:rPr>
          <w:sz w:val="20"/>
          <w:szCs w:val="20"/>
        </w:rPr>
      </w:pPr>
    </w:p>
    <w:p w:rsidR="00FE7F88" w:rsidRPr="00B031AF" w:rsidRDefault="00FE7F88" w:rsidP="00FE7F88">
      <w:pPr>
        <w:pStyle w:val="Estilo"/>
        <w:rPr>
          <w:b/>
          <w:sz w:val="20"/>
          <w:szCs w:val="20"/>
        </w:rPr>
      </w:pPr>
      <w:r w:rsidRPr="00B031AF">
        <w:rPr>
          <w:b/>
          <w:sz w:val="20"/>
          <w:szCs w:val="20"/>
        </w:rPr>
        <w:t>Artículo 67 quinquies.</w:t>
      </w:r>
    </w:p>
    <w:p w:rsidR="00FE7F88" w:rsidRPr="00B031AF" w:rsidRDefault="00FE7F88" w:rsidP="00FE7F88">
      <w:pPr>
        <w:pStyle w:val="Estilo"/>
        <w:rPr>
          <w:sz w:val="20"/>
          <w:szCs w:val="20"/>
        </w:rPr>
      </w:pPr>
      <w:r w:rsidRPr="00B031AF">
        <w:rPr>
          <w:sz w:val="20"/>
          <w:szCs w:val="20"/>
        </w:rPr>
        <w:t>1. Los órganos internos de control tendrán las siguientes atribuciones:</w:t>
      </w:r>
    </w:p>
    <w:p w:rsidR="00FE7F88" w:rsidRPr="00B031AF" w:rsidRDefault="00FE7F88" w:rsidP="00FE7F88">
      <w:pPr>
        <w:pStyle w:val="Estilo"/>
        <w:rPr>
          <w:sz w:val="20"/>
          <w:szCs w:val="20"/>
        </w:rPr>
      </w:pPr>
    </w:p>
    <w:p w:rsidR="00FE7F88" w:rsidRPr="00B031AF" w:rsidRDefault="00FE7F88" w:rsidP="00FE7F88">
      <w:pPr>
        <w:pStyle w:val="Estilo"/>
        <w:rPr>
          <w:sz w:val="20"/>
          <w:szCs w:val="20"/>
        </w:rPr>
      </w:pPr>
      <w:r w:rsidRPr="00B031AF">
        <w:rPr>
          <w:sz w:val="20"/>
          <w:szCs w:val="20"/>
        </w:rPr>
        <w:t>I. Implementar mecanismos para prevenir las faltas administrativas y los hechos de corrupción, así como evaluar anualmente estos mecanismos y sus resultados;</w:t>
      </w:r>
    </w:p>
    <w:p w:rsidR="00FE7F88" w:rsidRPr="00B031AF" w:rsidRDefault="00FE7F88" w:rsidP="00FE7F88">
      <w:pPr>
        <w:pStyle w:val="Estilo"/>
        <w:rPr>
          <w:sz w:val="20"/>
          <w:szCs w:val="20"/>
        </w:rPr>
      </w:pPr>
    </w:p>
    <w:p w:rsidR="00FE7F88" w:rsidRPr="00B031AF" w:rsidRDefault="00FE7F88" w:rsidP="00FE7F88">
      <w:pPr>
        <w:pStyle w:val="Estilo"/>
        <w:rPr>
          <w:sz w:val="20"/>
          <w:szCs w:val="20"/>
        </w:rPr>
      </w:pPr>
      <w:r w:rsidRPr="00B031AF">
        <w:rPr>
          <w:sz w:val="20"/>
          <w:szCs w:val="20"/>
        </w:rPr>
        <w:t>II. Investigar, substanciar y calificar las faltas administrativas;</w:t>
      </w:r>
    </w:p>
    <w:p w:rsidR="00FE7F88" w:rsidRPr="00B031AF" w:rsidRDefault="00FE7F88" w:rsidP="00FE7F88">
      <w:pPr>
        <w:pStyle w:val="Estilo"/>
        <w:rPr>
          <w:sz w:val="20"/>
          <w:szCs w:val="20"/>
        </w:rPr>
      </w:pPr>
    </w:p>
    <w:p w:rsidR="00FE7F88" w:rsidRPr="00B031AF" w:rsidRDefault="00FE7F88" w:rsidP="00FE7F88">
      <w:pPr>
        <w:pStyle w:val="Estilo"/>
        <w:rPr>
          <w:sz w:val="20"/>
          <w:szCs w:val="20"/>
        </w:rPr>
      </w:pPr>
      <w:r w:rsidRPr="00B031AF">
        <w:rPr>
          <w:sz w:val="20"/>
          <w:szCs w:val="20"/>
        </w:rPr>
        <w:t>III. Resolver las faltas administrativas no graves e imponer y ejecutar las sanciones correspondientes;</w:t>
      </w:r>
    </w:p>
    <w:p w:rsidR="00FE7F88" w:rsidRPr="00B031AF" w:rsidRDefault="00FE7F88" w:rsidP="00FE7F88">
      <w:pPr>
        <w:pStyle w:val="Estilo"/>
        <w:rPr>
          <w:sz w:val="20"/>
          <w:szCs w:val="20"/>
        </w:rPr>
      </w:pPr>
    </w:p>
    <w:p w:rsidR="00FE7F88" w:rsidRPr="00B031AF" w:rsidRDefault="00FE7F88" w:rsidP="00FE7F88">
      <w:pPr>
        <w:pStyle w:val="Estilo"/>
        <w:rPr>
          <w:sz w:val="20"/>
          <w:szCs w:val="20"/>
        </w:rPr>
      </w:pPr>
      <w:r w:rsidRPr="00B031AF">
        <w:rPr>
          <w:sz w:val="20"/>
          <w:szCs w:val="20"/>
        </w:rPr>
        <w:t>IV. Remitir los procedimientos sobre faltas administrativas graves, debidamente sustanciados, al Tribunal de Justicia Administrativa para su resolución;</w:t>
      </w:r>
    </w:p>
    <w:p w:rsidR="00FE7F88" w:rsidRPr="00B031AF" w:rsidRDefault="00FE7F88" w:rsidP="00FE7F88">
      <w:pPr>
        <w:pStyle w:val="Estilo"/>
        <w:rPr>
          <w:sz w:val="20"/>
          <w:szCs w:val="20"/>
        </w:rPr>
      </w:pPr>
    </w:p>
    <w:p w:rsidR="00FE7F88" w:rsidRPr="00B031AF" w:rsidRDefault="00FE7F88" w:rsidP="00FE7F88">
      <w:pPr>
        <w:pStyle w:val="Estilo"/>
        <w:rPr>
          <w:sz w:val="20"/>
          <w:szCs w:val="20"/>
        </w:rPr>
      </w:pPr>
      <w:r w:rsidRPr="00B031AF">
        <w:rPr>
          <w:sz w:val="20"/>
          <w:szCs w:val="20"/>
        </w:rPr>
        <w:t>V. Revisar el ingreso, egreso, manejo, custodia y aplicación de los recursos públicos;</w:t>
      </w:r>
    </w:p>
    <w:p w:rsidR="00FE7F88" w:rsidRPr="00B031AF" w:rsidRDefault="00FE7F88" w:rsidP="00FE7F88">
      <w:pPr>
        <w:pStyle w:val="Estilo"/>
        <w:rPr>
          <w:sz w:val="20"/>
          <w:szCs w:val="20"/>
        </w:rPr>
      </w:pPr>
    </w:p>
    <w:p w:rsidR="00FE7F88" w:rsidRPr="00B031AF" w:rsidRDefault="00FE7F88" w:rsidP="00FE7F88">
      <w:pPr>
        <w:pStyle w:val="Estilo"/>
        <w:rPr>
          <w:sz w:val="20"/>
          <w:szCs w:val="20"/>
        </w:rPr>
      </w:pPr>
      <w:r w:rsidRPr="00B031AF">
        <w:rPr>
          <w:sz w:val="20"/>
          <w:szCs w:val="20"/>
        </w:rPr>
        <w:t>VI. Presentar denuncias ante la Fiscalía Especializada en Combate a la Corrupción, cuando tenga conocimiento de omisiones o hechos de corrupción que pudieran ser constitutivos de delito;</w:t>
      </w:r>
    </w:p>
    <w:p w:rsidR="00FE7F88" w:rsidRPr="00B031AF" w:rsidRDefault="00FE7F88" w:rsidP="00FE7F88">
      <w:pPr>
        <w:pStyle w:val="Estilo"/>
        <w:rPr>
          <w:sz w:val="20"/>
          <w:szCs w:val="20"/>
        </w:rPr>
      </w:pPr>
    </w:p>
    <w:p w:rsidR="00FE7F88" w:rsidRPr="00B031AF" w:rsidRDefault="00FE7F88" w:rsidP="00FE7F88">
      <w:pPr>
        <w:pStyle w:val="Estilo"/>
        <w:rPr>
          <w:sz w:val="20"/>
          <w:szCs w:val="20"/>
        </w:rPr>
      </w:pPr>
      <w:r w:rsidRPr="00B031AF">
        <w:rPr>
          <w:sz w:val="20"/>
          <w:szCs w:val="20"/>
        </w:rPr>
        <w:t>VII. Recibir y en su caso, requerir, las declaraciones de situación patrimonial, de intereses y la constancia de presentación de la declaración fiscal de los servidores públicos, así como inscribirlas y mantenerlas actualizadas en el sistema correspondiente;</w:t>
      </w:r>
    </w:p>
    <w:p w:rsidR="00FE7F88" w:rsidRPr="00B031AF" w:rsidRDefault="00FE7F88" w:rsidP="00FE7F88">
      <w:pPr>
        <w:pStyle w:val="Estilo"/>
        <w:rPr>
          <w:sz w:val="20"/>
          <w:szCs w:val="20"/>
        </w:rPr>
      </w:pPr>
    </w:p>
    <w:p w:rsidR="00FE7F88" w:rsidRPr="00B031AF" w:rsidRDefault="00FE7F88" w:rsidP="00FE7F88">
      <w:pPr>
        <w:pStyle w:val="Estilo"/>
        <w:rPr>
          <w:sz w:val="20"/>
          <w:szCs w:val="20"/>
        </w:rPr>
      </w:pPr>
      <w:r w:rsidRPr="00B031AF">
        <w:rPr>
          <w:sz w:val="20"/>
          <w:szCs w:val="20"/>
        </w:rPr>
        <w:t>VIII. Realizar verificaciones aleatorias de las declaraciones que obren en el sistema de evolución patrimonial, de declaración de intereses y de declaración fiscal con propósitos de investigación y auditoría;</w:t>
      </w:r>
    </w:p>
    <w:p w:rsidR="00FE7F88" w:rsidRPr="00B031AF" w:rsidRDefault="00FE7F88" w:rsidP="00FE7F88">
      <w:pPr>
        <w:pStyle w:val="Estilo"/>
        <w:rPr>
          <w:sz w:val="20"/>
          <w:szCs w:val="20"/>
        </w:rPr>
      </w:pPr>
    </w:p>
    <w:p w:rsidR="00FE7F88" w:rsidRPr="00B031AF" w:rsidRDefault="00FE7F88" w:rsidP="00FE7F88">
      <w:pPr>
        <w:pStyle w:val="Estilo"/>
        <w:rPr>
          <w:sz w:val="20"/>
          <w:szCs w:val="20"/>
        </w:rPr>
      </w:pPr>
      <w:r w:rsidRPr="00B031AF">
        <w:rPr>
          <w:sz w:val="20"/>
          <w:szCs w:val="20"/>
        </w:rPr>
        <w:t>IX. Requerir a los servidores públicos las aclaraciones pertinentes cuando sea detectado un aparente incremento inexplicable de su patrimonio;</w:t>
      </w:r>
    </w:p>
    <w:p w:rsidR="00FE7F88" w:rsidRPr="00B031AF" w:rsidRDefault="00FE7F88" w:rsidP="00FE7F88">
      <w:pPr>
        <w:pStyle w:val="Estilo"/>
        <w:rPr>
          <w:sz w:val="20"/>
          <w:szCs w:val="20"/>
        </w:rPr>
      </w:pPr>
    </w:p>
    <w:p w:rsidR="00FE7F88" w:rsidRPr="00B031AF" w:rsidRDefault="00FE7F88" w:rsidP="00FE7F88">
      <w:pPr>
        <w:pStyle w:val="Estilo"/>
        <w:rPr>
          <w:sz w:val="20"/>
          <w:szCs w:val="20"/>
        </w:rPr>
      </w:pPr>
      <w:r w:rsidRPr="00B031AF">
        <w:rPr>
          <w:sz w:val="20"/>
          <w:szCs w:val="20"/>
        </w:rPr>
        <w:t>X. Emitir, observar y vigilar el cumplimiento del Código de Ética, al que deberán sujetarse los servidores públicos del ente público, conforme a los lineamientos que emita el Sistema Nacional Anticorrupción;</w:t>
      </w:r>
    </w:p>
    <w:p w:rsidR="00FE7F88" w:rsidRPr="00B031AF" w:rsidRDefault="00FE7F88" w:rsidP="00FE7F88">
      <w:pPr>
        <w:pStyle w:val="Estilo"/>
        <w:rPr>
          <w:sz w:val="20"/>
          <w:szCs w:val="20"/>
        </w:rPr>
      </w:pPr>
    </w:p>
    <w:p w:rsidR="00FE7F88" w:rsidRPr="00B031AF" w:rsidRDefault="00FE7F88" w:rsidP="00FE7F88">
      <w:pPr>
        <w:pStyle w:val="Estilo"/>
        <w:rPr>
          <w:sz w:val="20"/>
          <w:szCs w:val="20"/>
        </w:rPr>
      </w:pPr>
      <w:r w:rsidRPr="00B031AF">
        <w:rPr>
          <w:sz w:val="20"/>
          <w:szCs w:val="20"/>
        </w:rPr>
        <w:t>XI. Implementar el protocolo de actuación en contrataciones públicas expedido por el Comité Coordinador del Sistema Nacional Anticorrupción;</w:t>
      </w:r>
    </w:p>
    <w:p w:rsidR="00FE7F88" w:rsidRPr="00B031AF" w:rsidRDefault="00FE7F88" w:rsidP="00FE7F88">
      <w:pPr>
        <w:pStyle w:val="Estilo"/>
        <w:rPr>
          <w:sz w:val="20"/>
          <w:szCs w:val="20"/>
        </w:rPr>
      </w:pPr>
    </w:p>
    <w:p w:rsidR="00FE7F88" w:rsidRPr="00B031AF" w:rsidRDefault="00FE7F88" w:rsidP="00FE7F88">
      <w:pPr>
        <w:pStyle w:val="Estilo"/>
        <w:rPr>
          <w:sz w:val="20"/>
          <w:szCs w:val="20"/>
        </w:rPr>
      </w:pPr>
      <w:r w:rsidRPr="00B031AF">
        <w:rPr>
          <w:sz w:val="20"/>
          <w:szCs w:val="20"/>
        </w:rPr>
        <w:t>XII. Tramitar y en su caso resolver, los recursos derivados de los procedimientos de responsabilidad administrativa, según corresponda; y</w:t>
      </w:r>
    </w:p>
    <w:p w:rsidR="00FE7F88" w:rsidRPr="00B031AF" w:rsidRDefault="00FE7F88" w:rsidP="00FE7F88">
      <w:pPr>
        <w:pStyle w:val="Estilo"/>
        <w:rPr>
          <w:sz w:val="20"/>
          <w:szCs w:val="20"/>
        </w:rPr>
      </w:pPr>
    </w:p>
    <w:p w:rsidR="00FE7F88" w:rsidRPr="00B031AF" w:rsidRDefault="00FE7F88" w:rsidP="00FE7F88">
      <w:pPr>
        <w:pStyle w:val="Estilo"/>
        <w:rPr>
          <w:sz w:val="20"/>
          <w:szCs w:val="20"/>
        </w:rPr>
      </w:pPr>
      <w:r w:rsidRPr="00B031AF">
        <w:rPr>
          <w:sz w:val="20"/>
          <w:szCs w:val="20"/>
        </w:rPr>
        <w:t>XIII. Las demás que le otorguen la legislación general y estatal aplicable.</w:t>
      </w:r>
    </w:p>
    <w:p w:rsidR="00FE7F88" w:rsidRPr="00B031AF" w:rsidRDefault="00FE7F88" w:rsidP="00FE7F88">
      <w:pPr>
        <w:pStyle w:val="Estilo"/>
        <w:rPr>
          <w:sz w:val="20"/>
          <w:szCs w:val="20"/>
        </w:rPr>
      </w:pPr>
    </w:p>
    <w:p w:rsidR="007E4A19" w:rsidRDefault="009C70A4" w:rsidP="00FE7F88">
      <w:bookmarkStart w:id="0" w:name="_GoBack"/>
      <w:bookmarkEnd w:id="0"/>
    </w:p>
    <w:sectPr w:rsidR="007E4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88"/>
    <w:rsid w:val="009C70A4"/>
    <w:rsid w:val="00CE27FB"/>
    <w:rsid w:val="00EE1B9E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977625"/>
  <w15:chartTrackingRefBased/>
  <w15:docId w15:val="{D9C9A5E9-406D-4804-8FAB-7663D911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F88"/>
    <w:pPr>
      <w:spacing w:after="0" w:line="240" w:lineRule="auto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qFormat/>
    <w:rsid w:val="00FE7F88"/>
    <w:pPr>
      <w:jc w:val="both"/>
    </w:pPr>
    <w:rPr>
      <w:rFonts w:cs="Times New Roman"/>
      <w:szCs w:val="22"/>
      <w:lang w:eastAsia="en-US"/>
    </w:rPr>
  </w:style>
  <w:style w:type="character" w:customStyle="1" w:styleId="EstiloCar">
    <w:name w:val="Estilo Car"/>
    <w:link w:val="Estilo"/>
    <w:locked/>
    <w:rsid w:val="00FE7F88"/>
    <w:rPr>
      <w:rFonts w:ascii="Arial" w:eastAsia="Times New Roman" w:hAnsi="Arial" w:cs="Times New Roman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WK07</dc:creator>
  <cp:keywords/>
  <dc:description/>
  <cp:lastModifiedBy>WK07</cp:lastModifiedBy>
  <cp:revision>1</cp:revision>
  <dcterms:created xsi:type="dcterms:W3CDTF">2024-08-15T19:00:00Z</dcterms:created>
  <dcterms:modified xsi:type="dcterms:W3CDTF">2024-08-15T19:12:00Z</dcterms:modified>
</cp:coreProperties>
</file>